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67F" w:rsidRPr="002346A2" w:rsidRDefault="0035567F" w:rsidP="001047F1">
      <w:pPr>
        <w:spacing w:line="360" w:lineRule="auto"/>
        <w:rPr>
          <w:rFonts w:asciiTheme="majorBidi" w:hAnsiTheme="majorBidi" w:cstheme="majorBidi"/>
          <w:b/>
          <w:bCs/>
          <w:color w:val="000000" w:themeColor="text1"/>
          <w:sz w:val="28"/>
          <w:szCs w:val="28"/>
        </w:rPr>
      </w:pPr>
      <w:r w:rsidRPr="001047F1">
        <w:rPr>
          <w:rFonts w:asciiTheme="majorBidi" w:hAnsiTheme="majorBidi" w:cstheme="majorBidi"/>
          <w:b/>
          <w:bCs/>
          <w:color w:val="000000" w:themeColor="text1"/>
          <w:sz w:val="44"/>
          <w:szCs w:val="44"/>
        </w:rPr>
        <w:t>I</w:t>
      </w:r>
      <w:r w:rsidRPr="002346A2">
        <w:rPr>
          <w:rFonts w:asciiTheme="majorBidi" w:hAnsiTheme="majorBidi" w:cstheme="majorBidi"/>
          <w:b/>
          <w:bCs/>
          <w:color w:val="000000" w:themeColor="text1"/>
          <w:sz w:val="28"/>
          <w:szCs w:val="28"/>
        </w:rPr>
        <w:t>ntroduction</w:t>
      </w:r>
    </w:p>
    <w:p w:rsidR="00BE2D5F" w:rsidRDefault="00BE2D5F" w:rsidP="00AE1AE8">
      <w:pPr>
        <w:spacing w:after="0" w:line="360" w:lineRule="auto"/>
        <w:ind w:firstLine="709"/>
        <w:jc w:val="both"/>
        <w:rPr>
          <w:rFonts w:asciiTheme="majorBidi" w:hAnsiTheme="majorBidi" w:cstheme="majorBidi"/>
          <w:color w:val="000000" w:themeColor="text1"/>
          <w:sz w:val="24"/>
          <w:szCs w:val="24"/>
        </w:rPr>
      </w:pPr>
      <w:r w:rsidRPr="002346A2">
        <w:rPr>
          <w:rFonts w:asciiTheme="majorBidi" w:hAnsiTheme="majorBidi" w:cstheme="majorBidi"/>
          <w:color w:val="000000" w:themeColor="text1"/>
          <w:sz w:val="24"/>
          <w:szCs w:val="24"/>
        </w:rPr>
        <w:t xml:space="preserve">L'aquaculture, est un domaine vaste et diversifié, représente une part de plus en plus importante du secteur de production alimentaire. L'aquaculture est considérée comme source importante de protéine animale, un aliment riche et équilibré recommandé à tout le monde, et à tout âge. Autrefois une petite activité traditionnelle de production en mois </w:t>
      </w:r>
      <w:r w:rsidRPr="00A122AE">
        <w:rPr>
          <w:rFonts w:asciiTheme="majorBidi" w:hAnsiTheme="majorBidi" w:cstheme="majorBidi"/>
          <w:color w:val="000000" w:themeColor="text1"/>
          <w:sz w:val="24"/>
          <w:szCs w:val="24"/>
        </w:rPr>
        <w:t>de</w:t>
      </w:r>
      <w:r w:rsidR="00AE1AE8" w:rsidRPr="00A122AE">
        <w:rPr>
          <w:rFonts w:asciiTheme="majorBidi" w:hAnsiTheme="majorBidi" w:cstheme="majorBidi"/>
          <w:color w:val="000000" w:themeColor="text1"/>
          <w:sz w:val="24"/>
          <w:szCs w:val="24"/>
        </w:rPr>
        <w:t xml:space="preserve"> pêchée.</w:t>
      </w:r>
    </w:p>
    <w:p w:rsidR="00BE2D5F" w:rsidRDefault="00BE2D5F" w:rsidP="00BE2D5F">
      <w:pPr>
        <w:spacing w:after="0" w:line="360" w:lineRule="auto"/>
        <w:ind w:firstLine="709"/>
        <w:jc w:val="both"/>
        <w:rPr>
          <w:rFonts w:asciiTheme="majorBidi" w:hAnsiTheme="majorBidi" w:cstheme="majorBidi"/>
          <w:color w:val="000000" w:themeColor="text1"/>
          <w:sz w:val="24"/>
          <w:szCs w:val="24"/>
        </w:rPr>
      </w:pPr>
      <w:r w:rsidRPr="005823F8">
        <w:rPr>
          <w:rFonts w:asciiTheme="majorBidi" w:hAnsiTheme="majorBidi" w:cstheme="majorBidi"/>
          <w:color w:val="000000" w:themeColor="text1"/>
          <w:sz w:val="24"/>
          <w:szCs w:val="24"/>
        </w:rPr>
        <w:t xml:space="preserve">L’aquaculture a comme un développement rapide et important dans le monde, elle est considérée de plus en plus comme partie intégrante des moyens ont utilisé pour assurer la sécurité alimentaire et le développement économique </w:t>
      </w:r>
      <w:r w:rsidRPr="001047F1">
        <w:rPr>
          <w:rFonts w:asciiTheme="majorBidi" w:hAnsiTheme="majorBidi" w:cstheme="majorBidi"/>
          <w:sz w:val="24"/>
          <w:szCs w:val="24"/>
        </w:rPr>
        <w:t>mondial (FAO ,2002)</w:t>
      </w:r>
      <w:r w:rsidR="00A122AE">
        <w:rPr>
          <w:rFonts w:asciiTheme="majorBidi" w:hAnsiTheme="majorBidi" w:cstheme="majorBidi"/>
          <w:sz w:val="24"/>
          <w:szCs w:val="24"/>
        </w:rPr>
        <w:t>.</w:t>
      </w:r>
    </w:p>
    <w:p w:rsidR="00BE2D5F" w:rsidRDefault="00BE2D5F" w:rsidP="00BE2D5F">
      <w:pPr>
        <w:spacing w:after="0" w:line="240" w:lineRule="auto"/>
        <w:ind w:firstLine="709"/>
        <w:jc w:val="both"/>
        <w:rPr>
          <w:rFonts w:asciiTheme="majorBidi" w:hAnsiTheme="majorBidi" w:cstheme="majorBidi"/>
          <w:color w:val="000000" w:themeColor="text1"/>
          <w:sz w:val="24"/>
          <w:szCs w:val="24"/>
        </w:rPr>
      </w:pPr>
    </w:p>
    <w:p w:rsidR="00BE2D5F" w:rsidRDefault="00BE2D5F" w:rsidP="00BE2D5F">
      <w:pPr>
        <w:spacing w:after="0" w:line="360" w:lineRule="auto"/>
        <w:ind w:firstLine="709"/>
        <w:jc w:val="both"/>
        <w:rPr>
          <w:rFonts w:asciiTheme="majorBidi" w:hAnsiTheme="majorBidi" w:cstheme="majorBidi"/>
          <w:color w:val="000000" w:themeColor="text1"/>
          <w:sz w:val="24"/>
          <w:szCs w:val="24"/>
        </w:rPr>
      </w:pPr>
      <w:r w:rsidRPr="002346A2">
        <w:rPr>
          <w:rFonts w:asciiTheme="majorBidi" w:hAnsiTheme="majorBidi" w:cstheme="majorBidi"/>
          <w:color w:val="000000" w:themeColor="text1"/>
          <w:sz w:val="24"/>
          <w:szCs w:val="24"/>
        </w:rPr>
        <w:t>Au cours de ces dernières années, l’aquaculture est devenue le secteur de production d’aliments dont la croissance a été la plus rapide, et contribuant de plus en plus au développement économique national, à la fourniture mondiale d’aliments et à la sécurité alimentaire (Bangkok, 2000).</w:t>
      </w:r>
    </w:p>
    <w:p w:rsidR="00BE2D5F" w:rsidRPr="002346A2" w:rsidRDefault="00BE2D5F" w:rsidP="00BE2D5F">
      <w:pPr>
        <w:spacing w:after="0" w:line="240" w:lineRule="auto"/>
        <w:ind w:firstLine="709"/>
        <w:jc w:val="both"/>
        <w:rPr>
          <w:rFonts w:asciiTheme="majorBidi" w:hAnsiTheme="majorBidi" w:cstheme="majorBidi"/>
          <w:color w:val="000000" w:themeColor="text1"/>
          <w:sz w:val="24"/>
          <w:szCs w:val="24"/>
        </w:rPr>
      </w:pPr>
    </w:p>
    <w:p w:rsidR="00BE2D5F" w:rsidRDefault="00BE2D5F" w:rsidP="00BE2D5F">
      <w:pPr>
        <w:spacing w:after="0" w:line="360" w:lineRule="auto"/>
        <w:ind w:firstLine="709"/>
        <w:jc w:val="both"/>
        <w:rPr>
          <w:rFonts w:asciiTheme="majorBidi" w:hAnsiTheme="majorBidi" w:cstheme="majorBidi"/>
          <w:color w:val="000000" w:themeColor="text1"/>
          <w:sz w:val="24"/>
          <w:szCs w:val="24"/>
        </w:rPr>
      </w:pPr>
      <w:r w:rsidRPr="002346A2">
        <w:rPr>
          <w:rFonts w:asciiTheme="majorBidi" w:hAnsiTheme="majorBidi" w:cstheme="majorBidi"/>
          <w:color w:val="000000" w:themeColor="text1"/>
          <w:sz w:val="24"/>
          <w:szCs w:val="24"/>
        </w:rPr>
        <w:t>En Algérie, la consommation de poisson et de fruits de mer frais et de l’ordre de 4,7 kg/ha</w:t>
      </w:r>
      <w:r>
        <w:rPr>
          <w:rFonts w:asciiTheme="majorBidi" w:hAnsiTheme="majorBidi" w:cstheme="majorBidi"/>
          <w:color w:val="000000" w:themeColor="text1"/>
          <w:sz w:val="24"/>
          <w:szCs w:val="24"/>
        </w:rPr>
        <w:t>bitat</w:t>
      </w:r>
      <w:r w:rsidRPr="002346A2">
        <w:rPr>
          <w:rFonts w:asciiTheme="majorBidi" w:hAnsiTheme="majorBidi" w:cstheme="majorBidi"/>
          <w:color w:val="000000" w:themeColor="text1"/>
          <w:sz w:val="24"/>
          <w:szCs w:val="24"/>
        </w:rPr>
        <w:t>/an. Ce chiffre est très largement inférieur à la moyenne mondiale qui est 19,4 kg/</w:t>
      </w:r>
      <w:r w:rsidRPr="004A5810">
        <w:rPr>
          <w:rFonts w:asciiTheme="majorBidi" w:hAnsiTheme="majorBidi" w:cstheme="majorBidi"/>
          <w:color w:val="000000" w:themeColor="text1"/>
          <w:sz w:val="24"/>
          <w:szCs w:val="24"/>
        </w:rPr>
        <w:t xml:space="preserve"> </w:t>
      </w:r>
      <w:r w:rsidRPr="002346A2">
        <w:rPr>
          <w:rFonts w:asciiTheme="majorBidi" w:hAnsiTheme="majorBidi" w:cstheme="majorBidi"/>
          <w:color w:val="000000" w:themeColor="text1"/>
          <w:sz w:val="24"/>
          <w:szCs w:val="24"/>
        </w:rPr>
        <w:t>ha</w:t>
      </w:r>
      <w:r>
        <w:rPr>
          <w:rFonts w:asciiTheme="majorBidi" w:hAnsiTheme="majorBidi" w:cstheme="majorBidi"/>
          <w:color w:val="000000" w:themeColor="text1"/>
          <w:sz w:val="24"/>
          <w:szCs w:val="24"/>
        </w:rPr>
        <w:t>bitat</w:t>
      </w:r>
      <w:r w:rsidRPr="002346A2">
        <w:rPr>
          <w:rFonts w:asciiTheme="majorBidi" w:hAnsiTheme="majorBidi" w:cstheme="majorBidi"/>
          <w:color w:val="000000" w:themeColor="text1"/>
          <w:sz w:val="24"/>
          <w:szCs w:val="24"/>
        </w:rPr>
        <w:t xml:space="preserve"> /an et reste en dessous des préconisations de l’organisation mondiale de la santé (6,2 kg/</w:t>
      </w:r>
      <w:r w:rsidRPr="004A5810">
        <w:rPr>
          <w:rFonts w:asciiTheme="majorBidi" w:hAnsiTheme="majorBidi" w:cstheme="majorBidi"/>
          <w:color w:val="000000" w:themeColor="text1"/>
          <w:sz w:val="24"/>
          <w:szCs w:val="24"/>
        </w:rPr>
        <w:t xml:space="preserve"> </w:t>
      </w:r>
      <w:r w:rsidRPr="002346A2">
        <w:rPr>
          <w:rFonts w:asciiTheme="majorBidi" w:hAnsiTheme="majorBidi" w:cstheme="majorBidi"/>
          <w:color w:val="000000" w:themeColor="text1"/>
          <w:sz w:val="24"/>
          <w:szCs w:val="24"/>
        </w:rPr>
        <w:t>ha</w:t>
      </w:r>
      <w:r>
        <w:rPr>
          <w:rFonts w:asciiTheme="majorBidi" w:hAnsiTheme="majorBidi" w:cstheme="majorBidi"/>
          <w:color w:val="000000" w:themeColor="text1"/>
          <w:sz w:val="24"/>
          <w:szCs w:val="24"/>
        </w:rPr>
        <w:t>bitat</w:t>
      </w:r>
      <w:r w:rsidRPr="002346A2">
        <w:rPr>
          <w:rFonts w:asciiTheme="majorBidi" w:hAnsiTheme="majorBidi" w:cstheme="majorBidi"/>
          <w:color w:val="000000" w:themeColor="text1"/>
          <w:sz w:val="24"/>
          <w:szCs w:val="24"/>
        </w:rPr>
        <w:t xml:space="preserve"> /an) 99,7% des produits proviennent de la pêche côtière et artisanale, les 0,3% restants étant issus de la pêche en eau douce pratiquée dans le barrage (carpe et barbeau  essentiellement)</w:t>
      </w:r>
      <w:r w:rsidRPr="00356950">
        <w:rPr>
          <w:rFonts w:asciiTheme="majorBidi" w:hAnsiTheme="majorBidi" w:cstheme="majorBidi"/>
          <w:color w:val="000000" w:themeColor="text1"/>
          <w:sz w:val="24"/>
          <w:szCs w:val="24"/>
        </w:rPr>
        <w:t xml:space="preserve"> </w:t>
      </w:r>
      <w:r w:rsidRPr="002346A2">
        <w:rPr>
          <w:rFonts w:asciiTheme="majorBidi" w:hAnsiTheme="majorBidi" w:cstheme="majorBidi"/>
          <w:color w:val="000000" w:themeColor="text1"/>
          <w:sz w:val="24"/>
          <w:szCs w:val="24"/>
        </w:rPr>
        <w:t>(Chih</w:t>
      </w:r>
      <w:r>
        <w:rPr>
          <w:rFonts w:asciiTheme="majorBidi" w:hAnsiTheme="majorBidi" w:cstheme="majorBidi"/>
          <w:color w:val="000000" w:themeColor="text1"/>
          <w:sz w:val="24"/>
          <w:szCs w:val="24"/>
        </w:rPr>
        <w:t>eb</w:t>
      </w:r>
      <w:r w:rsidRPr="002346A2">
        <w:rPr>
          <w:rFonts w:asciiTheme="majorBidi" w:hAnsiTheme="majorBidi" w:cstheme="majorBidi"/>
          <w:color w:val="000000" w:themeColor="text1"/>
          <w:sz w:val="24"/>
          <w:szCs w:val="24"/>
        </w:rPr>
        <w:t>, 2006).</w:t>
      </w:r>
    </w:p>
    <w:p w:rsidR="00BE2D5F" w:rsidRPr="002346A2" w:rsidRDefault="00BE2D5F" w:rsidP="00BE2D5F">
      <w:pPr>
        <w:spacing w:after="0" w:line="240" w:lineRule="auto"/>
        <w:ind w:firstLine="709"/>
        <w:jc w:val="both"/>
        <w:rPr>
          <w:rFonts w:asciiTheme="majorBidi" w:hAnsiTheme="majorBidi" w:cstheme="majorBidi"/>
          <w:color w:val="000000" w:themeColor="text1"/>
          <w:sz w:val="24"/>
          <w:szCs w:val="24"/>
        </w:rPr>
      </w:pPr>
    </w:p>
    <w:p w:rsidR="00BE2D5F" w:rsidRPr="0002065B" w:rsidRDefault="00BE2D5F" w:rsidP="00BE2D5F">
      <w:pPr>
        <w:spacing w:after="0" w:line="360" w:lineRule="auto"/>
        <w:ind w:firstLine="709"/>
        <w:jc w:val="both"/>
        <w:rPr>
          <w:rFonts w:asciiTheme="majorBidi" w:hAnsiTheme="majorBidi" w:cstheme="majorBidi"/>
          <w:b/>
          <w:bCs/>
          <w:color w:val="FF0000"/>
          <w:sz w:val="24"/>
          <w:szCs w:val="24"/>
        </w:rPr>
      </w:pPr>
      <w:r w:rsidRPr="002346A2">
        <w:rPr>
          <w:rFonts w:asciiTheme="majorBidi" w:hAnsiTheme="majorBidi" w:cstheme="majorBidi"/>
          <w:color w:val="000000" w:themeColor="text1"/>
          <w:sz w:val="24"/>
          <w:szCs w:val="24"/>
        </w:rPr>
        <w:t xml:space="preserve">La vulgarisation et l’introduction sur le marché national d’espèces nouvelles, ayant une valeur marchande intéressante, ont incité le secteur privé à s’intéresser  à l’aquaculture, en particulier la pisciculture continentale, ceci est démontré par le  nombre de demandes de concessions qui ne cesse d’affluer à </w:t>
      </w:r>
      <w:r w:rsidRPr="001047F1">
        <w:rPr>
          <w:rFonts w:asciiTheme="majorBidi" w:hAnsiTheme="majorBidi" w:cstheme="majorBidi"/>
          <w:sz w:val="24"/>
          <w:szCs w:val="24"/>
        </w:rPr>
        <w:t>l’administration des pêches (Karali et Echikh ,2005).</w:t>
      </w:r>
    </w:p>
    <w:p w:rsidR="00BE2D5F" w:rsidRPr="002346A2" w:rsidRDefault="00BE2D5F" w:rsidP="00BE2D5F">
      <w:pPr>
        <w:spacing w:after="0" w:line="240" w:lineRule="auto"/>
        <w:ind w:firstLine="709"/>
        <w:rPr>
          <w:rFonts w:asciiTheme="majorBidi" w:hAnsiTheme="majorBidi" w:cstheme="majorBidi"/>
          <w:color w:val="000000" w:themeColor="text1"/>
          <w:sz w:val="24"/>
          <w:szCs w:val="24"/>
        </w:rPr>
      </w:pPr>
    </w:p>
    <w:p w:rsidR="00BE2D5F" w:rsidRPr="002346A2" w:rsidRDefault="00BE2D5F" w:rsidP="00BE2D5F">
      <w:pPr>
        <w:spacing w:after="0" w:line="360" w:lineRule="auto"/>
        <w:ind w:firstLine="709"/>
        <w:jc w:val="both"/>
        <w:rPr>
          <w:rFonts w:asciiTheme="majorBidi" w:hAnsiTheme="majorBidi" w:cstheme="majorBidi"/>
          <w:color w:val="000000" w:themeColor="text1"/>
          <w:sz w:val="24"/>
          <w:szCs w:val="24"/>
        </w:rPr>
      </w:pPr>
      <w:r w:rsidRPr="002346A2">
        <w:rPr>
          <w:rFonts w:asciiTheme="majorBidi" w:hAnsiTheme="majorBidi" w:cstheme="majorBidi"/>
          <w:color w:val="000000" w:themeColor="text1"/>
          <w:sz w:val="24"/>
          <w:szCs w:val="24"/>
        </w:rPr>
        <w:t xml:space="preserve">Au cours de la période 1985-1991, des alevins de diverses espèces de poissons dulçaquicoles </w:t>
      </w:r>
      <w:r w:rsidRPr="004A5810">
        <w:rPr>
          <w:rFonts w:asciiTheme="majorBidi" w:hAnsiTheme="majorBidi" w:cstheme="majorBidi"/>
          <w:i/>
          <w:iCs/>
          <w:color w:val="000000" w:themeColor="text1"/>
          <w:sz w:val="24"/>
          <w:szCs w:val="24"/>
        </w:rPr>
        <w:t>Sander</w:t>
      </w:r>
      <w:r w:rsidRPr="002346A2">
        <w:rPr>
          <w:rFonts w:asciiTheme="majorBidi" w:hAnsiTheme="majorBidi" w:cstheme="majorBidi"/>
          <w:color w:val="000000" w:themeColor="text1"/>
          <w:sz w:val="24"/>
          <w:szCs w:val="24"/>
        </w:rPr>
        <w:t xml:space="preserve"> </w:t>
      </w:r>
      <w:r w:rsidRPr="004A5810">
        <w:rPr>
          <w:rFonts w:asciiTheme="majorBidi" w:hAnsiTheme="majorBidi" w:cstheme="majorBidi"/>
          <w:i/>
          <w:iCs/>
          <w:color w:val="000000" w:themeColor="text1"/>
          <w:sz w:val="24"/>
          <w:szCs w:val="24"/>
        </w:rPr>
        <w:t>lucioperca</w:t>
      </w:r>
      <w:r w:rsidRPr="002346A2">
        <w:rPr>
          <w:rFonts w:asciiTheme="majorBidi" w:hAnsiTheme="majorBidi" w:cstheme="majorBidi"/>
          <w:color w:val="000000" w:themeColor="text1"/>
          <w:sz w:val="24"/>
          <w:szCs w:val="24"/>
        </w:rPr>
        <w:t xml:space="preserve"> (Percidae), </w:t>
      </w:r>
      <w:r w:rsidRPr="002346A2">
        <w:rPr>
          <w:rFonts w:asciiTheme="majorBidi" w:hAnsiTheme="majorBidi" w:cstheme="majorBidi"/>
          <w:i/>
          <w:iCs/>
          <w:color w:val="000000" w:themeColor="text1"/>
          <w:sz w:val="24"/>
          <w:szCs w:val="24"/>
        </w:rPr>
        <w:t>Cyprinus carpio, Aristichthys nobilis</w:t>
      </w:r>
      <w:r w:rsidRPr="002346A2">
        <w:rPr>
          <w:rFonts w:asciiTheme="majorBidi" w:hAnsiTheme="majorBidi" w:cstheme="majorBidi"/>
          <w:color w:val="000000" w:themeColor="text1"/>
          <w:sz w:val="24"/>
          <w:szCs w:val="24"/>
        </w:rPr>
        <w:t xml:space="preserve">, </w:t>
      </w:r>
      <w:r w:rsidRPr="002346A2">
        <w:rPr>
          <w:rFonts w:asciiTheme="majorBidi" w:hAnsiTheme="majorBidi" w:cstheme="majorBidi"/>
          <w:i/>
          <w:iCs/>
          <w:color w:val="000000" w:themeColor="text1"/>
          <w:sz w:val="24"/>
          <w:szCs w:val="24"/>
        </w:rPr>
        <w:t>Hypophthalmichthys molitrix</w:t>
      </w:r>
      <w:r w:rsidRPr="002346A2">
        <w:rPr>
          <w:rFonts w:asciiTheme="majorBidi" w:hAnsiTheme="majorBidi" w:cstheme="majorBidi"/>
          <w:color w:val="000000" w:themeColor="text1"/>
          <w:sz w:val="24"/>
          <w:szCs w:val="24"/>
        </w:rPr>
        <w:t xml:space="preserve"> et </w:t>
      </w:r>
      <w:r w:rsidRPr="002346A2">
        <w:rPr>
          <w:rFonts w:asciiTheme="majorBidi" w:hAnsiTheme="majorBidi" w:cstheme="majorBidi"/>
          <w:i/>
          <w:iCs/>
          <w:color w:val="000000" w:themeColor="text1"/>
          <w:sz w:val="24"/>
          <w:szCs w:val="24"/>
        </w:rPr>
        <w:t>Ctenopharyngodon idella</w:t>
      </w:r>
      <w:r w:rsidRPr="002346A2">
        <w:rPr>
          <w:rFonts w:asciiTheme="majorBidi" w:hAnsiTheme="majorBidi" w:cstheme="majorBidi"/>
          <w:color w:val="000000" w:themeColor="text1"/>
          <w:sz w:val="24"/>
          <w:szCs w:val="24"/>
        </w:rPr>
        <w:t xml:space="preserve"> (Cyprinidae), importés de </w:t>
      </w:r>
      <w:r>
        <w:rPr>
          <w:rFonts w:asciiTheme="majorBidi" w:hAnsiTheme="majorBidi" w:cstheme="majorBidi"/>
          <w:color w:val="000000" w:themeColor="text1"/>
          <w:sz w:val="24"/>
          <w:szCs w:val="24"/>
        </w:rPr>
        <w:t>l’</w:t>
      </w:r>
      <w:r w:rsidRPr="002346A2">
        <w:rPr>
          <w:rFonts w:asciiTheme="majorBidi" w:hAnsiTheme="majorBidi" w:cstheme="majorBidi"/>
          <w:color w:val="000000" w:themeColor="text1"/>
          <w:sz w:val="24"/>
          <w:szCs w:val="24"/>
        </w:rPr>
        <w:t xml:space="preserve">Hongrie, ont été introduits dans plusieurs barrages et retenues collinaires. Durant l’année 2001, une seconde opération de repeuplement, à l’échelle nationale, a concerné près de 14 millions d’alevins de Cyprinidés introduits dans 15 plans d’eau Cependant, cette démarche présente diverses difficultés dont l’obligation d’une rapide exécution des opérations de </w:t>
      </w:r>
      <w:r w:rsidRPr="002346A2">
        <w:rPr>
          <w:rFonts w:asciiTheme="majorBidi" w:hAnsiTheme="majorBidi" w:cstheme="majorBidi"/>
          <w:color w:val="000000" w:themeColor="text1"/>
          <w:sz w:val="24"/>
          <w:szCs w:val="24"/>
        </w:rPr>
        <w:lastRenderedPageBreak/>
        <w:t xml:space="preserve">peuplement dès la réception des poissons, la mobilisation d’une lourde logistique et des moyens humains et financiers considérable (Meddour </w:t>
      </w:r>
      <w:r w:rsidRPr="002346A2">
        <w:rPr>
          <w:rFonts w:asciiTheme="majorBidi" w:hAnsiTheme="majorBidi" w:cstheme="majorBidi"/>
          <w:i/>
          <w:iCs/>
          <w:color w:val="000000" w:themeColor="text1"/>
          <w:sz w:val="24"/>
          <w:szCs w:val="24"/>
        </w:rPr>
        <w:t>et al</w:t>
      </w:r>
      <w:r w:rsidRPr="002346A2">
        <w:rPr>
          <w:rFonts w:asciiTheme="majorBidi" w:hAnsiTheme="majorBidi" w:cstheme="majorBidi"/>
          <w:color w:val="000000" w:themeColor="text1"/>
          <w:sz w:val="24"/>
          <w:szCs w:val="24"/>
        </w:rPr>
        <w:t xml:space="preserve"> ., 2005)</w:t>
      </w:r>
      <w:r w:rsidR="00A122AE">
        <w:rPr>
          <w:rFonts w:asciiTheme="majorBidi" w:hAnsiTheme="majorBidi" w:cstheme="majorBidi"/>
          <w:color w:val="000000" w:themeColor="text1"/>
          <w:sz w:val="24"/>
          <w:szCs w:val="24"/>
        </w:rPr>
        <w:t>.</w:t>
      </w:r>
    </w:p>
    <w:p w:rsidR="00BE2D5F" w:rsidRPr="002346A2" w:rsidRDefault="00BE2D5F" w:rsidP="00BE2D5F">
      <w:pPr>
        <w:spacing w:after="0" w:line="360" w:lineRule="auto"/>
        <w:rPr>
          <w:rFonts w:asciiTheme="majorBidi" w:hAnsiTheme="majorBidi" w:cstheme="majorBidi"/>
          <w:color w:val="000000" w:themeColor="text1"/>
          <w:sz w:val="24"/>
          <w:szCs w:val="24"/>
        </w:rPr>
      </w:pPr>
    </w:p>
    <w:p w:rsidR="00BE2D5F" w:rsidRDefault="00BE2D5F" w:rsidP="00A122AE">
      <w:pPr>
        <w:shd w:val="clear" w:color="auto" w:fill="FFFFFF"/>
        <w:tabs>
          <w:tab w:val="left" w:pos="284"/>
          <w:tab w:val="left" w:pos="1022"/>
        </w:tabs>
        <w:spacing w:after="0" w:line="360" w:lineRule="auto"/>
        <w:ind w:firstLine="709"/>
        <w:rPr>
          <w:rFonts w:asciiTheme="majorBidi" w:hAnsiTheme="majorBidi" w:cstheme="majorBidi"/>
          <w:color w:val="000000" w:themeColor="text1"/>
          <w:sz w:val="24"/>
          <w:szCs w:val="24"/>
        </w:rPr>
      </w:pPr>
      <w:r w:rsidRPr="002346A2">
        <w:rPr>
          <w:rFonts w:asciiTheme="majorBidi" w:hAnsiTheme="majorBidi" w:cstheme="majorBidi"/>
          <w:color w:val="000000" w:themeColor="text1"/>
          <w:sz w:val="24"/>
          <w:szCs w:val="24"/>
        </w:rPr>
        <w:t xml:space="preserve">Pour faire une étude </w:t>
      </w:r>
      <w:r w:rsidR="00A122AE" w:rsidRPr="00A122AE">
        <w:rPr>
          <w:rFonts w:asciiTheme="majorBidi" w:hAnsiTheme="majorBidi" w:cstheme="majorBidi"/>
          <w:color w:val="000000" w:themeColor="text1"/>
          <w:sz w:val="24"/>
          <w:szCs w:val="24"/>
        </w:rPr>
        <w:t xml:space="preserve">qui  porte sur l’estimation  de la production piscicole continentale en nombre et en masse </w:t>
      </w:r>
      <w:r w:rsidRPr="002346A2">
        <w:rPr>
          <w:rFonts w:asciiTheme="majorBidi" w:hAnsiTheme="majorBidi" w:cstheme="majorBidi"/>
          <w:color w:val="000000" w:themeColor="text1"/>
          <w:sz w:val="24"/>
          <w:szCs w:val="24"/>
        </w:rPr>
        <w:t xml:space="preserve">dans </w:t>
      </w:r>
      <w:r>
        <w:rPr>
          <w:rFonts w:asciiTheme="majorBidi" w:hAnsiTheme="majorBidi" w:cstheme="majorBidi"/>
          <w:color w:val="000000" w:themeColor="text1"/>
          <w:sz w:val="24"/>
          <w:szCs w:val="24"/>
        </w:rPr>
        <w:t>l’</w:t>
      </w:r>
      <w:r w:rsidRPr="002346A2">
        <w:rPr>
          <w:rFonts w:asciiTheme="majorBidi" w:hAnsiTheme="majorBidi" w:cstheme="majorBidi"/>
          <w:color w:val="000000" w:themeColor="text1"/>
          <w:sz w:val="24"/>
          <w:szCs w:val="24"/>
        </w:rPr>
        <w:t>Est d</w:t>
      </w:r>
      <w:r>
        <w:rPr>
          <w:rFonts w:asciiTheme="majorBidi" w:hAnsiTheme="majorBidi" w:cstheme="majorBidi"/>
          <w:color w:val="000000" w:themeColor="text1"/>
          <w:sz w:val="24"/>
          <w:szCs w:val="24"/>
        </w:rPr>
        <w:t>e l’</w:t>
      </w:r>
      <w:r w:rsidRPr="002346A2">
        <w:rPr>
          <w:rFonts w:asciiTheme="majorBidi" w:hAnsiTheme="majorBidi" w:cstheme="majorBidi"/>
          <w:color w:val="000000" w:themeColor="text1"/>
          <w:sz w:val="24"/>
          <w:szCs w:val="24"/>
        </w:rPr>
        <w:t>Algérie trois station</w:t>
      </w:r>
      <w:r>
        <w:rPr>
          <w:rFonts w:asciiTheme="majorBidi" w:hAnsiTheme="majorBidi" w:cstheme="majorBidi"/>
          <w:color w:val="000000" w:themeColor="text1"/>
          <w:sz w:val="24"/>
          <w:szCs w:val="24"/>
        </w:rPr>
        <w:t>s</w:t>
      </w:r>
      <w:r w:rsidRPr="002346A2">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sont choisies ; b</w:t>
      </w:r>
      <w:r w:rsidRPr="002346A2">
        <w:rPr>
          <w:rFonts w:asciiTheme="majorBidi" w:hAnsiTheme="majorBidi" w:cstheme="majorBidi"/>
          <w:color w:val="000000" w:themeColor="text1"/>
          <w:sz w:val="24"/>
          <w:szCs w:val="24"/>
        </w:rPr>
        <w:t>arrage Ain Zada (BBA) ;</w:t>
      </w:r>
      <w:r>
        <w:rPr>
          <w:rFonts w:asciiTheme="majorBidi" w:hAnsiTheme="majorBidi" w:cstheme="majorBidi"/>
          <w:color w:val="000000" w:themeColor="text1"/>
          <w:sz w:val="24"/>
          <w:szCs w:val="24"/>
        </w:rPr>
        <w:t xml:space="preserve"> barrage El </w:t>
      </w:r>
      <w:r w:rsidRPr="002346A2">
        <w:rPr>
          <w:rFonts w:asciiTheme="majorBidi" w:hAnsiTheme="majorBidi" w:cstheme="majorBidi"/>
          <w:color w:val="000000" w:themeColor="text1"/>
          <w:sz w:val="24"/>
          <w:szCs w:val="24"/>
        </w:rPr>
        <w:t>K’sob (M’sila) et</w:t>
      </w:r>
      <w:r w:rsidRPr="00A122AE">
        <w:rPr>
          <w:rFonts w:asciiTheme="majorBidi" w:hAnsiTheme="majorBidi" w:cstheme="majorBidi"/>
          <w:color w:val="000000" w:themeColor="text1"/>
          <w:sz w:val="24"/>
          <w:szCs w:val="24"/>
        </w:rPr>
        <w:t xml:space="preserve"> barrage de Koudiet </w:t>
      </w:r>
      <w:r w:rsidR="00673F17" w:rsidRPr="00A122AE">
        <w:rPr>
          <w:rFonts w:asciiTheme="majorBidi" w:hAnsiTheme="majorBidi" w:cstheme="majorBidi"/>
          <w:color w:val="000000" w:themeColor="text1"/>
          <w:sz w:val="24"/>
          <w:szCs w:val="24"/>
        </w:rPr>
        <w:t>M’</w:t>
      </w:r>
      <w:r w:rsidRPr="00A122AE">
        <w:rPr>
          <w:rFonts w:asciiTheme="majorBidi" w:hAnsiTheme="majorBidi" w:cstheme="majorBidi"/>
          <w:color w:val="000000" w:themeColor="text1"/>
          <w:sz w:val="24"/>
          <w:szCs w:val="24"/>
        </w:rPr>
        <w:t>d</w:t>
      </w:r>
      <w:r w:rsidR="00673F17" w:rsidRPr="00A122AE">
        <w:rPr>
          <w:rFonts w:asciiTheme="majorBidi" w:hAnsiTheme="majorBidi" w:cstheme="majorBidi"/>
          <w:color w:val="000000" w:themeColor="text1"/>
          <w:sz w:val="24"/>
          <w:szCs w:val="24"/>
        </w:rPr>
        <w:t>a</w:t>
      </w:r>
      <w:r w:rsidRPr="00A122AE">
        <w:rPr>
          <w:rFonts w:asciiTheme="majorBidi" w:hAnsiTheme="majorBidi" w:cstheme="majorBidi"/>
          <w:color w:val="000000" w:themeColor="text1"/>
          <w:sz w:val="24"/>
          <w:szCs w:val="24"/>
        </w:rPr>
        <w:t>ouar (Batna)</w:t>
      </w:r>
      <w:r w:rsidRPr="002346A2">
        <w:rPr>
          <w:rFonts w:asciiTheme="majorBidi" w:hAnsiTheme="majorBidi" w:cstheme="majorBidi"/>
          <w:color w:val="000000" w:themeColor="text1"/>
          <w:sz w:val="24"/>
          <w:szCs w:val="24"/>
        </w:rPr>
        <w:t xml:space="preserve">, </w:t>
      </w:r>
      <w:r w:rsidR="00A122AE" w:rsidRPr="00A122AE">
        <w:rPr>
          <w:rFonts w:asciiTheme="majorBidi" w:hAnsiTheme="majorBidi" w:cstheme="majorBidi"/>
          <w:color w:val="000000" w:themeColor="text1"/>
          <w:sz w:val="24"/>
          <w:szCs w:val="24"/>
        </w:rPr>
        <w:t xml:space="preserve">dans  trois barrage </w:t>
      </w:r>
      <w:r w:rsidRPr="002346A2">
        <w:rPr>
          <w:rFonts w:asciiTheme="majorBidi" w:hAnsiTheme="majorBidi" w:cstheme="majorBidi"/>
          <w:color w:val="000000" w:themeColor="text1"/>
          <w:sz w:val="24"/>
          <w:szCs w:val="24"/>
        </w:rPr>
        <w:t xml:space="preserve">le travail présenté ici est scindé en </w:t>
      </w:r>
      <w:r>
        <w:rPr>
          <w:rFonts w:asciiTheme="majorBidi" w:hAnsiTheme="majorBidi" w:cstheme="majorBidi"/>
          <w:color w:val="000000" w:themeColor="text1"/>
          <w:sz w:val="24"/>
          <w:szCs w:val="24"/>
        </w:rPr>
        <w:t>cinq chapitres</w:t>
      </w:r>
      <w:r w:rsidRPr="002346A2">
        <w:rPr>
          <w:rFonts w:asciiTheme="majorBidi" w:hAnsiTheme="majorBidi" w:cstheme="majorBidi"/>
          <w:color w:val="000000" w:themeColor="text1"/>
          <w:sz w:val="24"/>
          <w:szCs w:val="24"/>
        </w:rPr>
        <w:t xml:space="preserve">. </w:t>
      </w:r>
    </w:p>
    <w:p w:rsidR="00BE2D5F" w:rsidRDefault="00BE2D5F" w:rsidP="00BE2D5F">
      <w:pPr>
        <w:shd w:val="clear" w:color="auto" w:fill="FFFFFF"/>
        <w:tabs>
          <w:tab w:val="left" w:pos="284"/>
          <w:tab w:val="left" w:pos="1022"/>
        </w:tabs>
        <w:spacing w:after="0" w:line="240" w:lineRule="auto"/>
        <w:ind w:firstLine="709"/>
        <w:rPr>
          <w:rFonts w:asciiTheme="majorBidi" w:hAnsiTheme="majorBidi" w:cstheme="majorBidi"/>
          <w:color w:val="000000" w:themeColor="text1"/>
          <w:sz w:val="24"/>
          <w:szCs w:val="24"/>
        </w:rPr>
      </w:pPr>
    </w:p>
    <w:p w:rsidR="00BE2D5F" w:rsidRPr="002346A2" w:rsidRDefault="00BE2D5F" w:rsidP="00BE2D5F">
      <w:pPr>
        <w:pStyle w:val="Paragraphedeliste"/>
        <w:numPr>
          <w:ilvl w:val="0"/>
          <w:numId w:val="2"/>
        </w:numPr>
        <w:spacing w:after="0" w:line="360" w:lineRule="auto"/>
        <w:rPr>
          <w:rFonts w:asciiTheme="majorBidi" w:hAnsiTheme="majorBidi" w:cstheme="majorBidi"/>
          <w:color w:val="000000" w:themeColor="text1"/>
          <w:sz w:val="24"/>
          <w:szCs w:val="24"/>
        </w:rPr>
      </w:pPr>
      <w:r w:rsidRPr="002346A2">
        <w:rPr>
          <w:rFonts w:asciiTheme="majorBidi" w:hAnsiTheme="majorBidi" w:cstheme="majorBidi"/>
          <w:color w:val="000000" w:themeColor="text1"/>
          <w:sz w:val="24"/>
          <w:szCs w:val="24"/>
        </w:rPr>
        <w:t xml:space="preserve">Le premier chapitre est consacré </w:t>
      </w:r>
      <w:r>
        <w:rPr>
          <w:rFonts w:asciiTheme="majorBidi" w:hAnsiTheme="majorBidi" w:cstheme="majorBidi"/>
          <w:color w:val="000000" w:themeColor="text1"/>
          <w:sz w:val="24"/>
          <w:szCs w:val="24"/>
        </w:rPr>
        <w:t>É</w:t>
      </w:r>
      <w:r w:rsidRPr="002346A2">
        <w:rPr>
          <w:rFonts w:asciiTheme="majorBidi" w:hAnsiTheme="majorBidi" w:cstheme="majorBidi"/>
          <w:color w:val="000000" w:themeColor="text1"/>
          <w:sz w:val="24"/>
          <w:szCs w:val="24"/>
        </w:rPr>
        <w:t>volution et l’état actuel de l’aquaculture en Algérie depuis les premières tentatives faites avec des opérations de repeuplement</w:t>
      </w:r>
      <w:r>
        <w:rPr>
          <w:rFonts w:asciiTheme="majorBidi" w:hAnsiTheme="majorBidi" w:cstheme="majorBidi"/>
          <w:color w:val="000000" w:themeColor="text1"/>
          <w:sz w:val="24"/>
          <w:szCs w:val="24"/>
        </w:rPr>
        <w:t>s</w:t>
      </w:r>
      <w:r w:rsidRPr="002346A2">
        <w:rPr>
          <w:rFonts w:asciiTheme="majorBidi" w:hAnsiTheme="majorBidi" w:cstheme="majorBidi"/>
          <w:color w:val="000000" w:themeColor="text1"/>
          <w:sz w:val="24"/>
          <w:szCs w:val="24"/>
        </w:rPr>
        <w:t xml:space="preserve">, jusqu’à l’état actuel de mise en place de grands projets d’investissements, visant une aquaculture de production, créatrice d’emplois et génératrice de revenus. </w:t>
      </w:r>
    </w:p>
    <w:p w:rsidR="00BE2D5F" w:rsidRDefault="00BE2D5F" w:rsidP="00BE2D5F">
      <w:pPr>
        <w:pStyle w:val="Paragraphedeliste"/>
        <w:numPr>
          <w:ilvl w:val="0"/>
          <w:numId w:val="2"/>
        </w:numPr>
        <w:spacing w:after="0" w:line="360" w:lineRule="auto"/>
        <w:rPr>
          <w:rFonts w:asciiTheme="majorBidi" w:hAnsiTheme="majorBidi" w:cstheme="majorBidi"/>
          <w:color w:val="000000" w:themeColor="text1"/>
          <w:sz w:val="24"/>
          <w:szCs w:val="24"/>
        </w:rPr>
      </w:pPr>
      <w:r w:rsidRPr="002346A2">
        <w:rPr>
          <w:rFonts w:asciiTheme="majorBidi" w:hAnsiTheme="majorBidi" w:cstheme="majorBidi"/>
          <w:color w:val="000000" w:themeColor="text1"/>
          <w:sz w:val="24"/>
          <w:szCs w:val="24"/>
        </w:rPr>
        <w:t xml:space="preserve">Le second chapitre porte une  </w:t>
      </w:r>
      <w:r>
        <w:rPr>
          <w:rFonts w:asciiTheme="majorBidi" w:hAnsiTheme="majorBidi" w:cstheme="majorBidi"/>
          <w:color w:val="000000" w:themeColor="text1"/>
          <w:sz w:val="24"/>
          <w:szCs w:val="24"/>
        </w:rPr>
        <w:t>d</w:t>
      </w:r>
      <w:r w:rsidRPr="002346A2">
        <w:rPr>
          <w:rFonts w:asciiTheme="majorBidi" w:hAnsiTheme="majorBidi" w:cstheme="majorBidi"/>
          <w:color w:val="000000" w:themeColor="text1"/>
          <w:sz w:val="24"/>
          <w:szCs w:val="24"/>
        </w:rPr>
        <w:t>escription des espèces étudiées</w:t>
      </w:r>
    </w:p>
    <w:p w:rsidR="00BE2D5F" w:rsidRPr="002346A2" w:rsidRDefault="00BE2D5F" w:rsidP="00BE2D5F">
      <w:pPr>
        <w:pStyle w:val="Paragraphedeliste"/>
        <w:numPr>
          <w:ilvl w:val="0"/>
          <w:numId w:val="2"/>
        </w:numPr>
        <w:spacing w:after="0" w:line="360" w:lineRule="auto"/>
        <w:jc w:val="both"/>
        <w:rPr>
          <w:rFonts w:asciiTheme="majorBidi" w:hAnsiTheme="majorBidi" w:cstheme="majorBidi"/>
          <w:color w:val="000000" w:themeColor="text1"/>
          <w:sz w:val="24"/>
          <w:szCs w:val="24"/>
        </w:rPr>
      </w:pPr>
      <w:r w:rsidRPr="002346A2">
        <w:rPr>
          <w:rFonts w:asciiTheme="majorBidi" w:hAnsiTheme="majorBidi" w:cstheme="majorBidi"/>
          <w:color w:val="000000" w:themeColor="text1"/>
          <w:sz w:val="24"/>
          <w:szCs w:val="24"/>
        </w:rPr>
        <w:t>Le troisième chapitre est consacré pour la présentation de la zone d’étude.</w:t>
      </w:r>
    </w:p>
    <w:p w:rsidR="00BE2D5F" w:rsidRPr="002346A2" w:rsidRDefault="00BE2D5F" w:rsidP="00BE2D5F">
      <w:pPr>
        <w:pStyle w:val="Paragraphedeliste"/>
        <w:numPr>
          <w:ilvl w:val="0"/>
          <w:numId w:val="2"/>
        </w:numPr>
        <w:spacing w:after="0" w:line="360" w:lineRule="auto"/>
        <w:jc w:val="both"/>
        <w:rPr>
          <w:rFonts w:asciiTheme="majorBidi" w:hAnsiTheme="majorBidi" w:cstheme="majorBidi"/>
          <w:color w:val="000000" w:themeColor="text1"/>
          <w:sz w:val="24"/>
          <w:szCs w:val="24"/>
        </w:rPr>
      </w:pPr>
      <w:r w:rsidRPr="002346A2">
        <w:rPr>
          <w:rFonts w:asciiTheme="majorBidi" w:hAnsiTheme="majorBidi" w:cstheme="majorBidi"/>
          <w:color w:val="000000" w:themeColor="text1"/>
          <w:sz w:val="24"/>
          <w:szCs w:val="24"/>
        </w:rPr>
        <w:t>Le quatrième chapitre aborde le matériel et les méthodes d’analyse.</w:t>
      </w:r>
    </w:p>
    <w:p w:rsidR="00BE2D5F" w:rsidRPr="002346A2" w:rsidRDefault="00BE2D5F" w:rsidP="00BE2D5F">
      <w:pPr>
        <w:pStyle w:val="Paragraphedeliste"/>
        <w:numPr>
          <w:ilvl w:val="0"/>
          <w:numId w:val="2"/>
        </w:numPr>
        <w:spacing w:after="0" w:line="360" w:lineRule="auto"/>
        <w:rPr>
          <w:rFonts w:asciiTheme="majorBidi" w:hAnsiTheme="majorBidi" w:cstheme="majorBidi"/>
          <w:color w:val="000000" w:themeColor="text1"/>
          <w:sz w:val="24"/>
          <w:szCs w:val="24"/>
        </w:rPr>
      </w:pPr>
      <w:r w:rsidRPr="002346A2">
        <w:rPr>
          <w:rFonts w:asciiTheme="majorBidi" w:hAnsiTheme="majorBidi" w:cstheme="majorBidi"/>
          <w:color w:val="000000" w:themeColor="text1"/>
          <w:sz w:val="24"/>
          <w:szCs w:val="24"/>
        </w:rPr>
        <w:t>Le cinquième chapitre  présente les résultats et les discussions</w:t>
      </w:r>
    </w:p>
    <w:p w:rsidR="00BE2D5F" w:rsidRPr="00AA246D" w:rsidRDefault="00BE2D5F" w:rsidP="00BE2D5F">
      <w:pPr>
        <w:pStyle w:val="Paragraphedeliste"/>
        <w:spacing w:line="360" w:lineRule="auto"/>
        <w:ind w:left="0"/>
        <w:jc w:val="both"/>
        <w:rPr>
          <w:rFonts w:asciiTheme="majorBidi" w:hAnsiTheme="majorBidi" w:cstheme="majorBidi"/>
          <w:sz w:val="24"/>
          <w:szCs w:val="24"/>
        </w:rPr>
      </w:pPr>
      <w:r w:rsidRPr="00AA246D">
        <w:rPr>
          <w:rFonts w:asciiTheme="majorBidi" w:hAnsiTheme="majorBidi" w:cstheme="majorBidi"/>
          <w:sz w:val="24"/>
          <w:szCs w:val="24"/>
        </w:rPr>
        <w:t>Finalement notre travail s’achève par une conclusion.</w:t>
      </w:r>
    </w:p>
    <w:p w:rsidR="0035567F" w:rsidRDefault="0035567F" w:rsidP="0035567F">
      <w:pPr>
        <w:spacing w:line="360" w:lineRule="auto"/>
        <w:rPr>
          <w:rFonts w:asciiTheme="majorBidi" w:hAnsiTheme="majorBidi" w:cstheme="majorBidi"/>
          <w:b/>
          <w:bCs/>
          <w:sz w:val="28"/>
          <w:szCs w:val="28"/>
        </w:rPr>
      </w:pPr>
    </w:p>
    <w:p w:rsidR="0035567F" w:rsidRDefault="0035567F" w:rsidP="0035567F">
      <w:pPr>
        <w:spacing w:line="360" w:lineRule="auto"/>
        <w:rPr>
          <w:rFonts w:asciiTheme="majorBidi" w:hAnsiTheme="majorBidi" w:cstheme="majorBidi"/>
          <w:b/>
          <w:bCs/>
          <w:sz w:val="28"/>
          <w:szCs w:val="28"/>
        </w:rPr>
      </w:pPr>
    </w:p>
    <w:p w:rsidR="0035567F" w:rsidRDefault="0035567F" w:rsidP="0035567F">
      <w:pPr>
        <w:spacing w:line="360" w:lineRule="auto"/>
        <w:rPr>
          <w:rFonts w:asciiTheme="majorBidi" w:hAnsiTheme="majorBidi" w:cstheme="majorBidi"/>
          <w:sz w:val="24"/>
          <w:szCs w:val="24"/>
        </w:rPr>
      </w:pPr>
    </w:p>
    <w:p w:rsidR="002F6A49" w:rsidRPr="002346A2" w:rsidRDefault="002F6A49" w:rsidP="002346A2">
      <w:pPr>
        <w:pStyle w:val="Paragraphedeliste"/>
        <w:spacing w:line="360" w:lineRule="auto"/>
        <w:rPr>
          <w:rFonts w:asciiTheme="majorBidi" w:hAnsiTheme="majorBidi" w:cstheme="majorBidi"/>
          <w:sz w:val="24"/>
          <w:szCs w:val="24"/>
        </w:rPr>
      </w:pPr>
    </w:p>
    <w:sectPr w:rsidR="002F6A49" w:rsidRPr="002346A2" w:rsidSect="007A39C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2DC3" w:rsidRDefault="00E22DC3" w:rsidP="003C42E1">
      <w:pPr>
        <w:spacing w:after="0" w:line="240" w:lineRule="auto"/>
      </w:pPr>
      <w:r>
        <w:separator/>
      </w:r>
    </w:p>
  </w:endnote>
  <w:endnote w:type="continuationSeparator" w:id="1">
    <w:p w:rsidR="00E22DC3" w:rsidRDefault="00E22DC3" w:rsidP="003C42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27865"/>
      <w:docPartObj>
        <w:docPartGallery w:val="Page Numbers (Bottom of Page)"/>
        <w:docPartUnique/>
      </w:docPartObj>
    </w:sdtPr>
    <w:sdtContent>
      <w:p w:rsidR="003C42E1" w:rsidRDefault="00DE7305">
        <w:pPr>
          <w:pStyle w:val="Pieddepage"/>
          <w:jc w:val="center"/>
        </w:pPr>
        <w:fldSimple w:instr=" PAGE   \* MERGEFORMAT ">
          <w:r w:rsidR="00A122AE">
            <w:rPr>
              <w:noProof/>
            </w:rPr>
            <w:t>1</w:t>
          </w:r>
        </w:fldSimple>
      </w:p>
    </w:sdtContent>
  </w:sdt>
  <w:p w:rsidR="003C42E1" w:rsidRDefault="003C42E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2DC3" w:rsidRDefault="00E22DC3" w:rsidP="003C42E1">
      <w:pPr>
        <w:spacing w:after="0" w:line="240" w:lineRule="auto"/>
      </w:pPr>
      <w:r>
        <w:separator/>
      </w:r>
    </w:p>
  </w:footnote>
  <w:footnote w:type="continuationSeparator" w:id="1">
    <w:p w:rsidR="00E22DC3" w:rsidRDefault="00E22DC3" w:rsidP="003C42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2E1" w:rsidRDefault="003C42E1">
    <w:pPr>
      <w:pStyle w:val="En-tte"/>
    </w:pPr>
  </w:p>
  <w:p w:rsidR="003C42E1" w:rsidRDefault="003C42E1">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409CF"/>
    <w:multiLevelType w:val="hybridMultilevel"/>
    <w:tmpl w:val="11CE5AD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9C06F5C"/>
    <w:multiLevelType w:val="hybridMultilevel"/>
    <w:tmpl w:val="BF0241B4"/>
    <w:lvl w:ilvl="0" w:tplc="ECCA921C">
      <w:start w:val="1"/>
      <w:numFmt w:val="bullet"/>
      <w:lvlText w:val="•"/>
      <w:lvlJc w:val="left"/>
      <w:pPr>
        <w:tabs>
          <w:tab w:val="num" w:pos="720"/>
        </w:tabs>
        <w:ind w:left="720" w:hanging="360"/>
      </w:pPr>
      <w:rPr>
        <w:rFonts w:ascii="Arial" w:hAnsi="Arial" w:hint="default"/>
      </w:rPr>
    </w:lvl>
    <w:lvl w:ilvl="1" w:tplc="B9F6A4E4" w:tentative="1">
      <w:start w:val="1"/>
      <w:numFmt w:val="bullet"/>
      <w:lvlText w:val="•"/>
      <w:lvlJc w:val="left"/>
      <w:pPr>
        <w:tabs>
          <w:tab w:val="num" w:pos="1440"/>
        </w:tabs>
        <w:ind w:left="1440" w:hanging="360"/>
      </w:pPr>
      <w:rPr>
        <w:rFonts w:ascii="Arial" w:hAnsi="Arial" w:hint="default"/>
      </w:rPr>
    </w:lvl>
    <w:lvl w:ilvl="2" w:tplc="458800BC" w:tentative="1">
      <w:start w:val="1"/>
      <w:numFmt w:val="bullet"/>
      <w:lvlText w:val="•"/>
      <w:lvlJc w:val="left"/>
      <w:pPr>
        <w:tabs>
          <w:tab w:val="num" w:pos="2160"/>
        </w:tabs>
        <w:ind w:left="2160" w:hanging="360"/>
      </w:pPr>
      <w:rPr>
        <w:rFonts w:ascii="Arial" w:hAnsi="Arial" w:hint="default"/>
      </w:rPr>
    </w:lvl>
    <w:lvl w:ilvl="3" w:tplc="8B66300E" w:tentative="1">
      <w:start w:val="1"/>
      <w:numFmt w:val="bullet"/>
      <w:lvlText w:val="•"/>
      <w:lvlJc w:val="left"/>
      <w:pPr>
        <w:tabs>
          <w:tab w:val="num" w:pos="2880"/>
        </w:tabs>
        <w:ind w:left="2880" w:hanging="360"/>
      </w:pPr>
      <w:rPr>
        <w:rFonts w:ascii="Arial" w:hAnsi="Arial" w:hint="default"/>
      </w:rPr>
    </w:lvl>
    <w:lvl w:ilvl="4" w:tplc="CFD266B4" w:tentative="1">
      <w:start w:val="1"/>
      <w:numFmt w:val="bullet"/>
      <w:lvlText w:val="•"/>
      <w:lvlJc w:val="left"/>
      <w:pPr>
        <w:tabs>
          <w:tab w:val="num" w:pos="3600"/>
        </w:tabs>
        <w:ind w:left="3600" w:hanging="360"/>
      </w:pPr>
      <w:rPr>
        <w:rFonts w:ascii="Arial" w:hAnsi="Arial" w:hint="default"/>
      </w:rPr>
    </w:lvl>
    <w:lvl w:ilvl="5" w:tplc="618A4AE0" w:tentative="1">
      <w:start w:val="1"/>
      <w:numFmt w:val="bullet"/>
      <w:lvlText w:val="•"/>
      <w:lvlJc w:val="left"/>
      <w:pPr>
        <w:tabs>
          <w:tab w:val="num" w:pos="4320"/>
        </w:tabs>
        <w:ind w:left="4320" w:hanging="360"/>
      </w:pPr>
      <w:rPr>
        <w:rFonts w:ascii="Arial" w:hAnsi="Arial" w:hint="default"/>
      </w:rPr>
    </w:lvl>
    <w:lvl w:ilvl="6" w:tplc="0448B88A" w:tentative="1">
      <w:start w:val="1"/>
      <w:numFmt w:val="bullet"/>
      <w:lvlText w:val="•"/>
      <w:lvlJc w:val="left"/>
      <w:pPr>
        <w:tabs>
          <w:tab w:val="num" w:pos="5040"/>
        </w:tabs>
        <w:ind w:left="5040" w:hanging="360"/>
      </w:pPr>
      <w:rPr>
        <w:rFonts w:ascii="Arial" w:hAnsi="Arial" w:hint="default"/>
      </w:rPr>
    </w:lvl>
    <w:lvl w:ilvl="7" w:tplc="FC26EEB8" w:tentative="1">
      <w:start w:val="1"/>
      <w:numFmt w:val="bullet"/>
      <w:lvlText w:val="•"/>
      <w:lvlJc w:val="left"/>
      <w:pPr>
        <w:tabs>
          <w:tab w:val="num" w:pos="5760"/>
        </w:tabs>
        <w:ind w:left="5760" w:hanging="360"/>
      </w:pPr>
      <w:rPr>
        <w:rFonts w:ascii="Arial" w:hAnsi="Arial" w:hint="default"/>
      </w:rPr>
    </w:lvl>
    <w:lvl w:ilvl="8" w:tplc="A462AE3C" w:tentative="1">
      <w:start w:val="1"/>
      <w:numFmt w:val="bullet"/>
      <w:lvlText w:val="•"/>
      <w:lvlJc w:val="left"/>
      <w:pPr>
        <w:tabs>
          <w:tab w:val="num" w:pos="6480"/>
        </w:tabs>
        <w:ind w:left="6480" w:hanging="360"/>
      </w:pPr>
      <w:rPr>
        <w:rFonts w:ascii="Arial" w:hAnsi="Arial" w:hint="default"/>
      </w:rPr>
    </w:lvl>
  </w:abstractNum>
  <w:abstractNum w:abstractNumId="2">
    <w:nsid w:val="2C6F46E1"/>
    <w:multiLevelType w:val="hybridMultilevel"/>
    <w:tmpl w:val="E570AA94"/>
    <w:lvl w:ilvl="0" w:tplc="040C000D">
      <w:start w:val="1"/>
      <w:numFmt w:val="bullet"/>
      <w:lvlText w:val=""/>
      <w:lvlJc w:val="left"/>
      <w:pPr>
        <w:ind w:left="786"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62D66D93"/>
    <w:multiLevelType w:val="hybridMultilevel"/>
    <w:tmpl w:val="05A00E5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E701A64"/>
    <w:multiLevelType w:val="hybridMultilevel"/>
    <w:tmpl w:val="62D64A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2F6A49"/>
    <w:rsid w:val="000A49F9"/>
    <w:rsid w:val="001047F1"/>
    <w:rsid w:val="002346A2"/>
    <w:rsid w:val="002F6A49"/>
    <w:rsid w:val="003432CA"/>
    <w:rsid w:val="0035567F"/>
    <w:rsid w:val="00392548"/>
    <w:rsid w:val="003C42E1"/>
    <w:rsid w:val="004F158F"/>
    <w:rsid w:val="004F5E98"/>
    <w:rsid w:val="00673F17"/>
    <w:rsid w:val="00712A6E"/>
    <w:rsid w:val="00772CC5"/>
    <w:rsid w:val="00775224"/>
    <w:rsid w:val="007A39C4"/>
    <w:rsid w:val="00A122AE"/>
    <w:rsid w:val="00A60D95"/>
    <w:rsid w:val="00AC594D"/>
    <w:rsid w:val="00AE1AE8"/>
    <w:rsid w:val="00AE4025"/>
    <w:rsid w:val="00BE2D5F"/>
    <w:rsid w:val="00DE7305"/>
    <w:rsid w:val="00E22DC3"/>
    <w:rsid w:val="00F2313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C4"/>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346A2"/>
    <w:pPr>
      <w:ind w:left="720"/>
      <w:contextualSpacing/>
    </w:pPr>
  </w:style>
  <w:style w:type="paragraph" w:styleId="En-tte">
    <w:name w:val="header"/>
    <w:basedOn w:val="Normal"/>
    <w:link w:val="En-tteCar"/>
    <w:uiPriority w:val="99"/>
    <w:semiHidden/>
    <w:unhideWhenUsed/>
    <w:rsid w:val="003C42E1"/>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3C42E1"/>
  </w:style>
  <w:style w:type="paragraph" w:styleId="Pieddepage">
    <w:name w:val="footer"/>
    <w:basedOn w:val="Normal"/>
    <w:link w:val="PieddepageCar"/>
    <w:uiPriority w:val="99"/>
    <w:unhideWhenUsed/>
    <w:rsid w:val="003C42E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C42E1"/>
  </w:style>
</w:styles>
</file>

<file path=word/webSettings.xml><?xml version="1.0" encoding="utf-8"?>
<w:webSettings xmlns:r="http://schemas.openxmlformats.org/officeDocument/2006/relationships" xmlns:w="http://schemas.openxmlformats.org/wordprocessingml/2006/main">
  <w:divs>
    <w:div w:id="107134519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541</Words>
  <Characters>2980</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lilou</dc:creator>
  <cp:keywords/>
  <dc:description/>
  <cp:lastModifiedBy>lilou</cp:lastModifiedBy>
  <cp:revision>14</cp:revision>
  <dcterms:created xsi:type="dcterms:W3CDTF">2015-06-11T20:41:00Z</dcterms:created>
  <dcterms:modified xsi:type="dcterms:W3CDTF">2015-10-10T13:49:00Z</dcterms:modified>
</cp:coreProperties>
</file>